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1" w:rsidRDefault="00C47421" w:rsidP="00C4742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47421" w:rsidRDefault="00C47421" w:rsidP="00C4742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47421" w:rsidRDefault="00C47421" w:rsidP="00C47421">
      <w:pPr>
        <w:jc w:val="center"/>
        <w:rPr>
          <w:sz w:val="28"/>
          <w:szCs w:val="28"/>
        </w:rPr>
      </w:pPr>
    </w:p>
    <w:p w:rsidR="00C47421" w:rsidRDefault="00C47421" w:rsidP="00C4742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47421" w:rsidRDefault="00C47421" w:rsidP="00C47421">
      <w:pPr>
        <w:jc w:val="center"/>
        <w:rPr>
          <w:sz w:val="28"/>
          <w:szCs w:val="28"/>
        </w:rPr>
      </w:pPr>
    </w:p>
    <w:p w:rsidR="00C47421" w:rsidRDefault="00C47421" w:rsidP="00C474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47421" w:rsidRDefault="00C47421" w:rsidP="00C47421">
      <w:pPr>
        <w:jc w:val="center"/>
        <w:rPr>
          <w:b/>
          <w:sz w:val="28"/>
          <w:szCs w:val="28"/>
        </w:rPr>
      </w:pPr>
    </w:p>
    <w:p w:rsidR="00C47421" w:rsidRPr="00C47421" w:rsidRDefault="00C47421" w:rsidP="00C4742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C4742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C47421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C4742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C4742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010803" w:rsidRPr="00C47421" w:rsidRDefault="00010803" w:rsidP="002D225E">
      <w:pPr>
        <w:tabs>
          <w:tab w:val="left" w:pos="5940"/>
        </w:tabs>
        <w:ind w:left="-284" w:right="5811"/>
        <w:jc w:val="both"/>
        <w:rPr>
          <w:sz w:val="28"/>
          <w:szCs w:val="28"/>
        </w:rPr>
      </w:pPr>
    </w:p>
    <w:p w:rsidR="00246ED8" w:rsidRPr="00C47421" w:rsidRDefault="00246ED8" w:rsidP="00C47421">
      <w:pPr>
        <w:tabs>
          <w:tab w:val="left" w:pos="5940"/>
        </w:tabs>
        <w:ind w:right="5811"/>
        <w:jc w:val="both"/>
        <w:rPr>
          <w:sz w:val="28"/>
          <w:szCs w:val="28"/>
          <w:lang w:val="en-US"/>
        </w:rPr>
      </w:pPr>
    </w:p>
    <w:p w:rsidR="00010803" w:rsidRDefault="00010803" w:rsidP="002D225E">
      <w:pPr>
        <w:tabs>
          <w:tab w:val="left" w:pos="5940"/>
        </w:tabs>
        <w:ind w:left="-284" w:right="5811"/>
        <w:jc w:val="both"/>
        <w:rPr>
          <w:sz w:val="28"/>
          <w:szCs w:val="28"/>
          <w:lang w:val="uk-UA"/>
        </w:rPr>
      </w:pPr>
    </w:p>
    <w:p w:rsidR="002D225E" w:rsidRDefault="002D225E" w:rsidP="002D225E">
      <w:pPr>
        <w:tabs>
          <w:tab w:val="left" w:pos="5940"/>
        </w:tabs>
        <w:ind w:left="-284" w:right="581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27C8D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Черкаської міської ради</w:t>
      </w:r>
      <w:r>
        <w:rPr>
          <w:sz w:val="26"/>
          <w:szCs w:val="26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рішення Черкаської міської ради від 21.03.2019 № 2-4224 «Про затвердження Програми розвитку земельних відносин та використання і охорони земель в м. Черкаси на 2019-2023 роки» </w:t>
      </w:r>
    </w:p>
    <w:p w:rsidR="002D225E" w:rsidRDefault="002D225E" w:rsidP="002D225E">
      <w:pPr>
        <w:rPr>
          <w:b/>
          <w:sz w:val="26"/>
          <w:szCs w:val="26"/>
          <w:lang w:val="uk-UA"/>
        </w:rPr>
      </w:pPr>
    </w:p>
    <w:p w:rsidR="002D225E" w:rsidRDefault="002D225E" w:rsidP="002D225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Земельного кодексу України, статей 33, 52 Закону України «Про місцеве самоврядування в Україні», </w:t>
      </w:r>
      <w:r w:rsidR="00147D90">
        <w:rPr>
          <w:sz w:val="28"/>
          <w:szCs w:val="28"/>
          <w:lang w:val="uk-UA"/>
        </w:rPr>
        <w:t>Закону Украї</w:t>
      </w:r>
      <w:r>
        <w:rPr>
          <w:sz w:val="28"/>
          <w:szCs w:val="28"/>
          <w:lang w:val="uk-UA"/>
        </w:rPr>
        <w:t>ни</w:t>
      </w:r>
      <w:r w:rsidR="00147D90">
        <w:rPr>
          <w:sz w:val="28"/>
          <w:szCs w:val="28"/>
          <w:lang w:val="uk-UA"/>
        </w:rPr>
        <w:t xml:space="preserve"> «</w:t>
      </w:r>
      <w:r w:rsidR="000D4B23" w:rsidRPr="000D4B23">
        <w:rPr>
          <w:sz w:val="28"/>
          <w:szCs w:val="28"/>
          <w:lang w:val="uk-UA"/>
        </w:rPr>
        <w:t>Про внесення змін до деяких законодавчих актів України щодо продажу земельних ділянок та набуття права користування ними через електронні аукціони</w:t>
      </w:r>
      <w:r w:rsidR="000D4B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 метою приведення Програми у відповідність до норм чинного законодавства, та подальшого розвитку з</w:t>
      </w:r>
      <w:r w:rsidR="000D4B23">
        <w:rPr>
          <w:sz w:val="28"/>
          <w:szCs w:val="28"/>
          <w:lang w:val="uk-UA"/>
        </w:rPr>
        <w:t>емельних відносин у м. Черкаси</w:t>
      </w:r>
      <w:r>
        <w:rPr>
          <w:sz w:val="28"/>
          <w:szCs w:val="28"/>
          <w:lang w:val="uk-UA"/>
        </w:rPr>
        <w:t>, виконавчий комітет Черкаської міської ради</w:t>
      </w:r>
    </w:p>
    <w:p w:rsidR="002D225E" w:rsidRDefault="002D225E" w:rsidP="002D225E">
      <w:pPr>
        <w:tabs>
          <w:tab w:val="left" w:pos="709"/>
        </w:tabs>
        <w:ind w:left="-284" w:right="-5" w:firstLine="993"/>
        <w:jc w:val="both"/>
        <w:rPr>
          <w:b/>
          <w:sz w:val="26"/>
          <w:szCs w:val="26"/>
          <w:lang w:val="uk-UA"/>
        </w:rPr>
      </w:pPr>
    </w:p>
    <w:p w:rsidR="002D225E" w:rsidRDefault="002D225E" w:rsidP="002D225E">
      <w:pPr>
        <w:tabs>
          <w:tab w:val="left" w:pos="709"/>
        </w:tabs>
        <w:ind w:left="-284" w:right="-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2D225E" w:rsidRDefault="002D225E" w:rsidP="002D225E">
      <w:pPr>
        <w:tabs>
          <w:tab w:val="left" w:pos="709"/>
        </w:tabs>
        <w:ind w:left="-284" w:right="-5" w:firstLine="993"/>
        <w:jc w:val="both"/>
        <w:rPr>
          <w:b/>
          <w:sz w:val="26"/>
          <w:szCs w:val="26"/>
          <w:lang w:val="uk-UA"/>
        </w:rPr>
      </w:pPr>
    </w:p>
    <w:p w:rsidR="002D225E" w:rsidRDefault="002D225E" w:rsidP="002D225E">
      <w:pPr>
        <w:numPr>
          <w:ilvl w:val="0"/>
          <w:numId w:val="1"/>
        </w:numPr>
        <w:tabs>
          <w:tab w:val="left" w:pos="709"/>
          <w:tab w:val="left" w:pos="993"/>
        </w:tabs>
        <w:ind w:left="-284"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і подати на розгляд та затвердження Черкаської міської ради </w:t>
      </w:r>
      <w:r w:rsidR="00E27C8D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«Про внесення змін до рішення Черкаської міської ради від 21.03.2019 № 2-4224 «Про затвердження Програми розвитку земельних відносин та використання і охорони земель в м. Черкаси на 2019-2023 роки».</w:t>
      </w:r>
    </w:p>
    <w:p w:rsidR="002D225E" w:rsidRDefault="002D225E" w:rsidP="002D225E">
      <w:pPr>
        <w:tabs>
          <w:tab w:val="num" w:pos="0"/>
          <w:tab w:val="left" w:pos="709"/>
        </w:tabs>
        <w:ind w:left="-284" w:right="-5" w:firstLine="993"/>
        <w:jc w:val="both"/>
        <w:rPr>
          <w:sz w:val="28"/>
          <w:szCs w:val="28"/>
          <w:lang w:val="uk-UA"/>
        </w:rPr>
      </w:pPr>
    </w:p>
    <w:p w:rsidR="002D225E" w:rsidRDefault="002D225E" w:rsidP="002D225E">
      <w:pPr>
        <w:numPr>
          <w:ilvl w:val="0"/>
          <w:numId w:val="1"/>
        </w:numPr>
        <w:tabs>
          <w:tab w:val="left" w:pos="709"/>
          <w:tab w:val="left" w:pos="993"/>
        </w:tabs>
        <w:ind w:left="-284" w:right="-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директора департаменту архітектури та містобудування Савіна А.О.</w:t>
      </w:r>
    </w:p>
    <w:p w:rsidR="002D225E" w:rsidRDefault="002D225E" w:rsidP="002D225E">
      <w:pPr>
        <w:tabs>
          <w:tab w:val="num" w:pos="0"/>
          <w:tab w:val="left" w:pos="916"/>
        </w:tabs>
        <w:ind w:left="-284" w:right="-5" w:firstLine="709"/>
        <w:jc w:val="both"/>
        <w:rPr>
          <w:b/>
          <w:sz w:val="28"/>
          <w:szCs w:val="28"/>
          <w:lang w:val="uk-UA"/>
        </w:rPr>
      </w:pPr>
    </w:p>
    <w:p w:rsidR="002D225E" w:rsidRDefault="002D225E" w:rsidP="002D225E">
      <w:pPr>
        <w:tabs>
          <w:tab w:val="left" w:pos="1200"/>
        </w:tabs>
        <w:ind w:left="-284" w:firstLine="284"/>
        <w:jc w:val="both"/>
        <w:rPr>
          <w:sz w:val="28"/>
          <w:szCs w:val="28"/>
          <w:lang w:val="uk-UA"/>
        </w:rPr>
      </w:pPr>
    </w:p>
    <w:p w:rsidR="002D225E" w:rsidRDefault="002D225E" w:rsidP="002D225E">
      <w:pPr>
        <w:tabs>
          <w:tab w:val="left" w:pos="1200"/>
        </w:tabs>
        <w:ind w:left="-284" w:firstLine="284"/>
        <w:jc w:val="both"/>
        <w:rPr>
          <w:sz w:val="28"/>
          <w:szCs w:val="28"/>
        </w:rPr>
      </w:pPr>
    </w:p>
    <w:p w:rsidR="002D225E" w:rsidRDefault="002D225E" w:rsidP="002D225E">
      <w:pPr>
        <w:tabs>
          <w:tab w:val="left" w:pos="1200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6F185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А.В. Бондаренко</w:t>
      </w:r>
    </w:p>
    <w:p w:rsidR="002D225E" w:rsidRDefault="002D225E" w:rsidP="006F185E">
      <w:pPr>
        <w:tabs>
          <w:tab w:val="left" w:pos="1200"/>
        </w:tabs>
        <w:rPr>
          <w:sz w:val="28"/>
          <w:szCs w:val="28"/>
          <w:lang w:val="en-US"/>
        </w:rPr>
      </w:pPr>
    </w:p>
    <w:p w:rsidR="006F185E" w:rsidRDefault="006F185E" w:rsidP="006F185E">
      <w:pPr>
        <w:tabs>
          <w:tab w:val="left" w:pos="1200"/>
        </w:tabs>
        <w:rPr>
          <w:sz w:val="28"/>
          <w:szCs w:val="28"/>
          <w:lang w:val="en-US"/>
        </w:rPr>
      </w:pPr>
    </w:p>
    <w:p w:rsidR="006F185E" w:rsidRDefault="006F185E" w:rsidP="006F185E">
      <w:pPr>
        <w:tabs>
          <w:tab w:val="left" w:pos="1200"/>
        </w:tabs>
        <w:rPr>
          <w:sz w:val="28"/>
          <w:szCs w:val="28"/>
          <w:lang w:val="en-US"/>
        </w:rPr>
      </w:pPr>
    </w:p>
    <w:p w:rsidR="006F185E" w:rsidRPr="006F185E" w:rsidRDefault="006F185E" w:rsidP="006F185E">
      <w:pPr>
        <w:tabs>
          <w:tab w:val="left" w:pos="1200"/>
        </w:tabs>
        <w:rPr>
          <w:sz w:val="28"/>
          <w:szCs w:val="28"/>
          <w:lang w:val="en-US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2"/>
        <w:gridCol w:w="1062"/>
        <w:gridCol w:w="746"/>
        <w:gridCol w:w="1700"/>
        <w:gridCol w:w="708"/>
        <w:gridCol w:w="1097"/>
        <w:gridCol w:w="1063"/>
        <w:gridCol w:w="1699"/>
      </w:tblGrid>
      <w:tr w:rsidR="002D225E" w:rsidTr="006C31DC">
        <w:trPr>
          <w:trHeight w:val="898"/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D225E" w:rsidRDefault="002D225E" w:rsidP="006C31D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object w:dxaOrig="67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.75pt" o:ole="" fillcolor="window">
                  <v:imagedata r:id="rId7" o:title=""/>
                </v:shape>
                <o:OLEObject Type="Embed" ProgID="PBrush" ShapeID="_x0000_i1025" DrawAspect="Content" ObjectID="_1688884085" r:id="rId8"/>
              </w:object>
            </w:r>
          </w:p>
        </w:tc>
        <w:tc>
          <w:tcPr>
            <w:tcW w:w="70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64" w:type="dxa"/>
            <w:gridSpan w:val="2"/>
            <w:shd w:val="clear" w:color="auto" w:fill="FFFFFF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 рішення</w:t>
            </w:r>
          </w:p>
          <w:p w:rsidR="002D225E" w:rsidRDefault="002D225E" w:rsidP="006C31DC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D225E" w:rsidRDefault="002D225E" w:rsidP="006C31DC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  <w:p w:rsidR="002D225E" w:rsidRDefault="002D225E" w:rsidP="006C31DC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17" w:type="dxa"/>
            <w:gridSpan w:val="5"/>
            <w:noWrap/>
            <w:vAlign w:val="center"/>
            <w:hideMark/>
          </w:tcPr>
          <w:p w:rsidR="002D225E" w:rsidRDefault="002D225E" w:rsidP="006C31D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color w:val="FFFFFF"/>
                <w:sz w:val="28"/>
                <w:szCs w:val="28"/>
                <w:lang w:val="uk-UA"/>
              </w:rPr>
              <w:t>&lt;</w:t>
            </w: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3936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5E" w:rsidRDefault="002D225E" w:rsidP="006C31DC">
            <w:pPr>
              <w:spacing w:line="256" w:lineRule="auto"/>
              <w:ind w:left="-40"/>
              <w:jc w:val="both"/>
              <w:rPr>
                <w:b/>
              </w:rPr>
            </w:pPr>
            <w:r>
              <w:rPr>
                <w:b/>
                <w:lang w:val="uk-UA"/>
              </w:rPr>
              <w:t>Про внесення змін до рішення Черкаської міської ради від 21.03.2019 № 2-4224 «Про затвердження Програми розвитку земельних відносин та використання і охорони земель в м. Черкаси на 2019-2023 роки»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color w:val="FFFFFF"/>
                <w:sz w:val="28"/>
                <w:szCs w:val="28"/>
                <w:lang w:val="uk-UA"/>
              </w:rPr>
              <w:t>&gt;</w:t>
            </w: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jc w:val="center"/>
        </w:trPr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noWrap/>
            <w:vAlign w:val="center"/>
          </w:tcPr>
          <w:p w:rsidR="002D225E" w:rsidRDefault="002D225E" w:rsidP="006C31D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2D225E" w:rsidTr="006C31DC">
        <w:trPr>
          <w:trHeight w:val="7093"/>
          <w:jc w:val="center"/>
        </w:trPr>
        <w:tc>
          <w:tcPr>
            <w:tcW w:w="10207" w:type="dxa"/>
            <w:gridSpan w:val="9"/>
            <w:noWrap/>
            <w:vAlign w:val="center"/>
          </w:tcPr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статті 91 Бюджетного кодексу України, ст. 12 Земельного кодексу України,</w:t>
            </w:r>
            <w:r w:rsidR="00013640">
              <w:rPr>
                <w:lang w:val="uk-UA"/>
              </w:rPr>
              <w:t xml:space="preserve"> </w:t>
            </w:r>
            <w:r w:rsidR="00013640" w:rsidRPr="00013640">
              <w:rPr>
                <w:lang w:val="uk-UA"/>
              </w:rPr>
              <w:t>Закону України «Про внесення змін до деяких законодавчих актів України щодо продажу земельних ділянок та набуття права користування ними через електронні аукціони»</w:t>
            </w:r>
            <w:r w:rsidR="00013640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 метою приведення Програми у відповідність до норм чинного законодавства, та подальшого розвитку з</w:t>
            </w:r>
            <w:r w:rsidR="00013640">
              <w:rPr>
                <w:lang w:val="uk-UA"/>
              </w:rPr>
              <w:t>емельних відносин у м. Черкаси</w:t>
            </w:r>
            <w:r>
              <w:rPr>
                <w:lang w:val="uk-UA"/>
              </w:rPr>
              <w:t xml:space="preserve">, керуючись ст. 26 Закону України «Про місцеве самоврядування в Україні», Черкаська міська рада </w:t>
            </w:r>
          </w:p>
          <w:p w:rsidR="002D225E" w:rsidRDefault="002D225E" w:rsidP="006C31DC">
            <w:pPr>
              <w:spacing w:line="256" w:lineRule="auto"/>
              <w:jc w:val="both"/>
              <w:rPr>
                <w:b/>
                <w:color w:val="000000"/>
                <w:spacing w:val="7"/>
                <w:lang w:val="uk-UA"/>
              </w:rPr>
            </w:pPr>
            <w:r>
              <w:rPr>
                <w:b/>
                <w:color w:val="000000"/>
                <w:spacing w:val="7"/>
                <w:lang w:val="uk-UA"/>
              </w:rPr>
              <w:t>ВИРІШИЛА:</w:t>
            </w: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firstLine="720"/>
              <w:jc w:val="both"/>
              <w:rPr>
                <w:b/>
                <w:color w:val="000000"/>
                <w:spacing w:val="7"/>
                <w:lang w:val="uk-UA"/>
              </w:rPr>
            </w:pP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1. Внести зміни до рішення Черкаської міської ради від 21.03.2019 № 2-4224 «Про затвердження Програми розвитку земельних відносин та використання і охорони земель в м. Черкаси на 2019-2023 роки», саме:</w:t>
            </w: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1.1.  В  розділі 2 Програми розвитку земельних відносин та використання і охорони в м. Черкаси абзац п’ятий викласти в наступній редакції:</w:t>
            </w: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«Загальний обсяг фінансових ресурсів, необхідних для реалізації Програми (кошти бюджету міста Черкаси):</w:t>
            </w:r>
          </w:p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>2019 рік – 25,0 тис. грн.</w:t>
            </w:r>
          </w:p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>2020 рік – 49,0 тис. грн.</w:t>
            </w:r>
          </w:p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2021 рік – </w:t>
            </w:r>
            <w:r w:rsidR="00E27C8D">
              <w:rPr>
                <w:lang w:val="uk-UA"/>
              </w:rPr>
              <w:t>4795</w:t>
            </w:r>
            <w:r>
              <w:rPr>
                <w:lang w:val="uk-UA"/>
              </w:rPr>
              <w:t>,00 тис. грн.</w:t>
            </w:r>
          </w:p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2022 рік – </w:t>
            </w:r>
            <w:r w:rsidR="00E27C8D">
              <w:rPr>
                <w:lang w:val="uk-UA"/>
              </w:rPr>
              <w:t>1490</w:t>
            </w:r>
            <w:r>
              <w:rPr>
                <w:lang w:val="uk-UA"/>
              </w:rPr>
              <w:t>,00 тис. грн.</w:t>
            </w:r>
          </w:p>
          <w:p w:rsidR="002D225E" w:rsidRDefault="002D225E" w:rsidP="006C31DC">
            <w:pPr>
              <w:spacing w:line="256" w:lineRule="auto"/>
              <w:ind w:left="68" w:right="143" w:firstLine="7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2023 рік – </w:t>
            </w:r>
            <w:r w:rsidR="00E27C8D">
              <w:rPr>
                <w:lang w:val="uk-UA"/>
              </w:rPr>
              <w:t>1490</w:t>
            </w:r>
            <w:r>
              <w:rPr>
                <w:lang w:val="uk-UA"/>
              </w:rPr>
              <w:t>,00 тис. грн.»</w:t>
            </w:r>
          </w:p>
          <w:p w:rsidR="002D225E" w:rsidRDefault="002D225E" w:rsidP="006C31DC">
            <w:pPr>
              <w:pStyle w:val="a3"/>
              <w:spacing w:before="120" w:after="120" w:line="256" w:lineRule="auto"/>
              <w:ind w:left="0" w:firstLine="85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1.2. </w:t>
            </w:r>
            <w:r>
              <w:rPr>
                <w:lang w:val="uk-UA"/>
              </w:rPr>
              <w:t>В  розділі 8 Програми розвитку земельних відносин та використання і охорони</w:t>
            </w:r>
            <w:r w:rsidR="00435FDF">
              <w:rPr>
                <w:lang w:val="uk-UA"/>
              </w:rPr>
              <w:t xml:space="preserve"> земель </w:t>
            </w:r>
            <w:r>
              <w:rPr>
                <w:lang w:val="uk-UA"/>
              </w:rPr>
              <w:t xml:space="preserve"> в м. Черкаси </w:t>
            </w:r>
            <w:r>
              <w:rPr>
                <w:color w:val="000000"/>
                <w:lang w:val="uk-UA"/>
              </w:rPr>
              <w:t xml:space="preserve">таблицю 5 «Результативні показники (очікувані), що характеризують виконання Програми» </w:t>
            </w:r>
            <w:r w:rsidR="000F6D33">
              <w:rPr>
                <w:color w:val="000000"/>
                <w:lang w:val="uk-UA"/>
              </w:rPr>
              <w:t>доповнити наступними заходами</w:t>
            </w:r>
            <w:r>
              <w:rPr>
                <w:color w:val="000000"/>
                <w:lang w:val="uk-UA"/>
              </w:rPr>
              <w:t>:</w:t>
            </w:r>
          </w:p>
          <w:p w:rsidR="002D225E" w:rsidRDefault="002D225E" w:rsidP="006C31DC">
            <w:pPr>
              <w:pStyle w:val="a3"/>
              <w:spacing w:before="120" w:after="120" w:line="256" w:lineRule="auto"/>
              <w:ind w:left="0" w:firstLine="851"/>
              <w:jc w:val="both"/>
              <w:rPr>
                <w:color w:val="000000"/>
                <w:lang w:val="uk-UA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787"/>
              <w:gridCol w:w="1172"/>
              <w:gridCol w:w="993"/>
              <w:gridCol w:w="993"/>
              <w:gridCol w:w="999"/>
              <w:gridCol w:w="1277"/>
            </w:tblGrid>
            <w:tr w:rsidR="000F6D33" w:rsidRPr="00302031" w:rsidTr="004237FD">
              <w:trPr>
                <w:trHeight w:val="10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ind w:hanging="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Показники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напрями</w:t>
                  </w:r>
                  <w:proofErr w:type="spellEnd"/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використання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коштів</w:t>
                  </w:r>
                  <w:proofErr w:type="spellEnd"/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 xml:space="preserve">2019 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рік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2020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рік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2021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рік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2022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рік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2023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рік</w:t>
                  </w:r>
                </w:p>
              </w:tc>
            </w:tr>
            <w:tr w:rsidR="000F6D33" w:rsidRPr="00302031" w:rsidTr="004237FD">
              <w:trPr>
                <w:trHeight w:val="270"/>
              </w:trPr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pStyle w:val="a3"/>
                    <w:numPr>
                      <w:ilvl w:val="0"/>
                      <w:numId w:val="4"/>
                    </w:num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Показники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 xml:space="preserve"> затрат</w:t>
                  </w:r>
                </w:p>
              </w:tc>
            </w:tr>
            <w:tr w:rsidR="000F6D33" w:rsidRPr="00302031" w:rsidTr="004237FD">
              <w:trPr>
                <w:trHeight w:val="48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1.12.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283606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02031">
                    <w:rPr>
                      <w:sz w:val="20"/>
                      <w:szCs w:val="20"/>
                    </w:rPr>
                    <w:t>Організація</w:t>
                  </w:r>
                  <w:proofErr w:type="spellEnd"/>
                  <w:r w:rsidRPr="00302031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30203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3020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2031">
                    <w:rPr>
                      <w:sz w:val="20"/>
                      <w:szCs w:val="20"/>
                    </w:rPr>
                    <w:t>земельних</w:t>
                  </w:r>
                  <w:proofErr w:type="spellEnd"/>
                  <w:r w:rsidRPr="00302031">
                    <w:rPr>
                      <w:sz w:val="20"/>
                      <w:szCs w:val="20"/>
                    </w:rPr>
                    <w:t xml:space="preserve"> </w:t>
                  </w:r>
                  <w:r w:rsidR="00283606">
                    <w:rPr>
                      <w:sz w:val="20"/>
                      <w:szCs w:val="20"/>
                      <w:lang w:val="uk-UA"/>
                    </w:rPr>
                    <w:t xml:space="preserve">торгів у формі </w:t>
                  </w:r>
                  <w:proofErr w:type="spellStart"/>
                  <w:r w:rsidR="00283606">
                    <w:rPr>
                      <w:sz w:val="20"/>
                      <w:szCs w:val="20"/>
                    </w:rPr>
                    <w:t>аукціону</w:t>
                  </w:r>
                  <w:proofErr w:type="spellEnd"/>
                  <w:r w:rsidRPr="00302031">
                    <w:rPr>
                      <w:sz w:val="20"/>
                      <w:szCs w:val="20"/>
                      <w:lang w:val="uk-UA"/>
                    </w:rPr>
                    <w:t xml:space="preserve">, тис. грн.: 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650,0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1075,0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>075</w:t>
                  </w:r>
                  <w:r>
                    <w:rPr>
                      <w:sz w:val="18"/>
                      <w:szCs w:val="18"/>
                      <w:lang w:val="uk-UA"/>
                    </w:rPr>
                    <w:t>,0</w:t>
                  </w:r>
                </w:p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F6D33" w:rsidRPr="00302031" w:rsidTr="004237FD">
              <w:trPr>
                <w:trHeight w:val="66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pStyle w:val="a3"/>
                    <w:numPr>
                      <w:ilvl w:val="0"/>
                      <w:numId w:val="3"/>
                    </w:numPr>
                    <w:spacing w:line="256" w:lineRule="auto"/>
                    <w:ind w:left="-113" w:firstLine="0"/>
                    <w:jc w:val="both"/>
                    <w:rPr>
                      <w:sz w:val="20"/>
                      <w:szCs w:val="20"/>
                    </w:rPr>
                  </w:pPr>
                  <w:r w:rsidRPr="00302031">
                    <w:rPr>
                      <w:sz w:val="20"/>
                      <w:szCs w:val="20"/>
                      <w:lang w:val="uk-UA"/>
                    </w:rPr>
                    <w:t>Розроблення документацій із землеустрою, тис. грн.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600,0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1 000,0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1 000,0</w:t>
                  </w:r>
                </w:p>
              </w:tc>
            </w:tr>
            <w:tr w:rsidR="000F6D33" w:rsidRPr="00302031" w:rsidTr="004237FD">
              <w:trPr>
                <w:trHeight w:val="726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pStyle w:val="a3"/>
                    <w:numPr>
                      <w:ilvl w:val="0"/>
                      <w:numId w:val="3"/>
                    </w:numPr>
                    <w:spacing w:line="256" w:lineRule="auto"/>
                    <w:ind w:left="-113" w:firstLine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302031">
                    <w:rPr>
                      <w:sz w:val="20"/>
                      <w:szCs w:val="20"/>
                      <w:lang w:val="uk-UA"/>
                    </w:rPr>
                    <w:t>Замовлення звітів про експертну грошову оцінку, тис. грн.</w:t>
                  </w:r>
                </w:p>
                <w:p w:rsidR="000F6D33" w:rsidRPr="00302031" w:rsidRDefault="000F6D33" w:rsidP="000F6D33">
                  <w:pPr>
                    <w:spacing w:line="25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50,0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75,0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75,0</w:t>
                  </w:r>
                </w:p>
              </w:tc>
            </w:tr>
            <w:tr w:rsidR="000F6D33" w:rsidRPr="00302031" w:rsidTr="004237FD">
              <w:trPr>
                <w:trHeight w:val="659"/>
              </w:trPr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pStyle w:val="a3"/>
                    <w:numPr>
                      <w:ilvl w:val="0"/>
                      <w:numId w:val="4"/>
                    </w:num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Показники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 xml:space="preserve"> продукту</w:t>
                  </w:r>
                </w:p>
              </w:tc>
            </w:tr>
            <w:tr w:rsidR="000F6D33" w:rsidRPr="00302031" w:rsidTr="004237FD">
              <w:trPr>
                <w:trHeight w:val="36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2.12.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Розроблення документацій із землеустрою для подальшого продажу земельних ділянок</w:t>
                  </w:r>
                  <w:r w:rsidR="00283606">
                    <w:rPr>
                      <w:sz w:val="18"/>
                      <w:szCs w:val="18"/>
                      <w:lang w:val="uk-UA"/>
                    </w:rPr>
                    <w:t xml:space="preserve"> чи прав користування ними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 на земельних </w:t>
                  </w:r>
                  <w:r w:rsidR="00283606">
                    <w:rPr>
                      <w:sz w:val="20"/>
                      <w:szCs w:val="20"/>
                      <w:lang w:val="uk-UA"/>
                    </w:rPr>
                    <w:t xml:space="preserve">торгах у формі </w:t>
                  </w:r>
                  <w:proofErr w:type="spellStart"/>
                  <w:r w:rsidR="00283606">
                    <w:rPr>
                      <w:sz w:val="20"/>
                      <w:szCs w:val="20"/>
                    </w:rPr>
                    <w:t>аукціону</w:t>
                  </w:r>
                  <w:proofErr w:type="spellEnd"/>
                  <w:r w:rsidRPr="00302031">
                    <w:rPr>
                      <w:sz w:val="18"/>
                      <w:szCs w:val="18"/>
                      <w:lang w:val="uk-UA"/>
                    </w:rPr>
                    <w:t>, шт.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50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50</w:t>
                  </w:r>
                </w:p>
              </w:tc>
            </w:tr>
            <w:tr w:rsidR="000F6D33" w:rsidRPr="00302031" w:rsidTr="004237FD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Розроблення звітів про експертну грошову оцінку для продажу земельних ділянок</w:t>
                  </w:r>
                  <w:r w:rsidR="00283606">
                    <w:rPr>
                      <w:sz w:val="18"/>
                      <w:szCs w:val="18"/>
                      <w:lang w:val="uk-UA"/>
                    </w:rPr>
                    <w:t xml:space="preserve"> чи прав користування ними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 на земельних </w:t>
                  </w:r>
                  <w:r w:rsidR="00283606">
                    <w:rPr>
                      <w:sz w:val="20"/>
                      <w:szCs w:val="20"/>
                      <w:lang w:val="uk-UA"/>
                    </w:rPr>
                    <w:t xml:space="preserve">торгах у формі </w:t>
                  </w:r>
                  <w:proofErr w:type="spellStart"/>
                  <w:r w:rsidR="00283606">
                    <w:rPr>
                      <w:sz w:val="20"/>
                      <w:szCs w:val="20"/>
                    </w:rPr>
                    <w:t>аукціону</w:t>
                  </w:r>
                  <w:proofErr w:type="spellEnd"/>
                  <w:r w:rsidRPr="00302031">
                    <w:rPr>
                      <w:sz w:val="18"/>
                      <w:szCs w:val="18"/>
                      <w:lang w:val="uk-UA"/>
                    </w:rPr>
                    <w:t>, шт.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</w:tr>
            <w:tr w:rsidR="000F6D33" w:rsidRPr="00302031" w:rsidTr="004237FD"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 xml:space="preserve">3. 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Показники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ефективності</w:t>
                  </w:r>
                  <w:proofErr w:type="spellEnd"/>
                </w:p>
              </w:tc>
            </w:tr>
            <w:tr w:rsidR="000F6D33" w:rsidRPr="00302031" w:rsidTr="004237F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3.10.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6F185E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Середня вартість </w:t>
                  </w:r>
                  <w:r w:rsidRPr="00302031">
                    <w:rPr>
                      <w:sz w:val="20"/>
                      <w:szCs w:val="20"/>
                      <w:lang w:val="uk-UA"/>
                    </w:rPr>
                    <w:t xml:space="preserve">документацій із землеустрою для подальшого продажу земельних ділянок </w:t>
                  </w:r>
                  <w:r w:rsidR="00283606">
                    <w:rPr>
                      <w:sz w:val="18"/>
                      <w:szCs w:val="18"/>
                      <w:lang w:val="uk-UA"/>
                    </w:rPr>
                    <w:t>чи прав користування ними</w:t>
                  </w:r>
                  <w:r w:rsidR="00283606" w:rsidRPr="0030203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302031">
                    <w:rPr>
                      <w:sz w:val="20"/>
                      <w:szCs w:val="20"/>
                      <w:lang w:val="uk-UA"/>
                    </w:rPr>
                    <w:t xml:space="preserve">на земельних </w:t>
                  </w:r>
                  <w:r w:rsidR="00283606">
                    <w:rPr>
                      <w:sz w:val="20"/>
                      <w:szCs w:val="20"/>
                      <w:lang w:val="uk-UA"/>
                    </w:rPr>
                    <w:t xml:space="preserve">торгах у формі </w:t>
                  </w:r>
                  <w:proofErr w:type="spellStart"/>
                  <w:r w:rsidR="00283606">
                    <w:rPr>
                      <w:sz w:val="20"/>
                      <w:szCs w:val="20"/>
                    </w:rPr>
                    <w:t>аукціону</w:t>
                  </w:r>
                  <w:proofErr w:type="spellEnd"/>
                  <w:r w:rsidRPr="00302031">
                    <w:rPr>
                      <w:sz w:val="20"/>
                      <w:szCs w:val="20"/>
                      <w:lang w:val="uk-UA"/>
                    </w:rPr>
                    <w:t>, тис. грн.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20,0</w:t>
                  </w:r>
                </w:p>
              </w:tc>
            </w:tr>
            <w:tr w:rsidR="000F6D33" w:rsidRPr="00302031" w:rsidTr="004237F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b/>
                      <w:sz w:val="18"/>
                      <w:szCs w:val="18"/>
                      <w:lang w:val="uk-UA"/>
                    </w:rPr>
                    <w:t>3.11.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Середня вартість звіту про експертну грошову оцінку для продажу земельних ділянок </w:t>
                  </w:r>
                  <w:r w:rsidR="00283606">
                    <w:rPr>
                      <w:sz w:val="18"/>
                      <w:szCs w:val="18"/>
                      <w:lang w:val="uk-UA"/>
                    </w:rPr>
                    <w:t>чи прав користування ними</w:t>
                  </w:r>
                  <w:r w:rsidR="00283606" w:rsidRPr="0030203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на земельних </w:t>
                  </w:r>
                  <w:r w:rsidR="00283606">
                    <w:rPr>
                      <w:sz w:val="20"/>
                      <w:szCs w:val="20"/>
                      <w:lang w:val="uk-UA"/>
                    </w:rPr>
                    <w:t xml:space="preserve">торгах у формі </w:t>
                  </w:r>
                  <w:proofErr w:type="spellStart"/>
                  <w:r w:rsidR="00283606">
                    <w:rPr>
                      <w:sz w:val="20"/>
                      <w:szCs w:val="20"/>
                    </w:rPr>
                    <w:t>аукціону</w:t>
                  </w:r>
                  <w:proofErr w:type="spellEnd"/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302031">
                    <w:rPr>
                      <w:sz w:val="18"/>
                      <w:szCs w:val="18"/>
                      <w:lang w:val="uk-UA"/>
                    </w:rPr>
                    <w:t>тис.грн</w:t>
                  </w:r>
                  <w:proofErr w:type="spellEnd"/>
                  <w:r w:rsidRPr="00302031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2,5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2,5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33" w:rsidRPr="00302031" w:rsidRDefault="000F6D33" w:rsidP="000F6D33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2,5</w:t>
                  </w:r>
                </w:p>
              </w:tc>
            </w:tr>
          </w:tbl>
          <w:p w:rsidR="00E27C8D" w:rsidRDefault="00E27C8D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lang w:val="uk-UA"/>
              </w:rPr>
            </w:pPr>
          </w:p>
          <w:p w:rsidR="00435FDF" w:rsidRDefault="00435FDF" w:rsidP="00435FDF">
            <w:pPr>
              <w:pStyle w:val="a3"/>
              <w:spacing w:before="120" w:after="120" w:line="256" w:lineRule="auto"/>
              <w:ind w:left="0" w:firstLine="85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1.3. </w:t>
            </w:r>
            <w:r>
              <w:rPr>
                <w:lang w:val="uk-UA"/>
              </w:rPr>
              <w:t xml:space="preserve">В  розділі 8 Програми розвитку земельних відносин та використання і охорони земель  в м. Черкаси в </w:t>
            </w:r>
            <w:r>
              <w:rPr>
                <w:color w:val="000000"/>
                <w:lang w:val="uk-UA"/>
              </w:rPr>
              <w:t>таблиці 5 «Результативні показники (очікувані), що характеризують виконання Програми» пункти 4.1 та 4.2 замінити наступними показниками:</w:t>
            </w: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787"/>
              <w:gridCol w:w="1172"/>
              <w:gridCol w:w="993"/>
              <w:gridCol w:w="993"/>
              <w:gridCol w:w="999"/>
              <w:gridCol w:w="1277"/>
            </w:tblGrid>
            <w:tr w:rsidR="00435FDF" w:rsidRPr="00302031" w:rsidTr="007D1CCB"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Показники</w:t>
                  </w:r>
                  <w:proofErr w:type="spellEnd"/>
                  <w:r w:rsidRPr="00302031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2031">
                    <w:rPr>
                      <w:b/>
                      <w:sz w:val="18"/>
                      <w:szCs w:val="18"/>
                    </w:rPr>
                    <w:t>якості</w:t>
                  </w:r>
                  <w:proofErr w:type="spellEnd"/>
                </w:p>
              </w:tc>
            </w:tr>
            <w:tr w:rsidR="00435FDF" w:rsidRPr="00302031" w:rsidTr="007D1CC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02031">
                    <w:rPr>
                      <w:sz w:val="18"/>
                      <w:szCs w:val="18"/>
                    </w:rPr>
                    <w:t>Надходження</w:t>
                  </w:r>
                  <w:proofErr w:type="spellEnd"/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 коштів</w:t>
                  </w:r>
                  <w:r w:rsidRPr="00302031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302031">
                    <w:rPr>
                      <w:sz w:val="18"/>
                      <w:szCs w:val="18"/>
                    </w:rPr>
                    <w:t>міського</w:t>
                  </w:r>
                  <w:proofErr w:type="spellEnd"/>
                  <w:r w:rsidRPr="00302031">
                    <w:rPr>
                      <w:sz w:val="18"/>
                      <w:szCs w:val="18"/>
                    </w:rPr>
                    <w:t xml:space="preserve"> бюджету </w:t>
                  </w:r>
                  <w:proofErr w:type="spellStart"/>
                  <w:r w:rsidRPr="00302031">
                    <w:rPr>
                      <w:sz w:val="18"/>
                      <w:szCs w:val="18"/>
                    </w:rPr>
                    <w:t>від</w:t>
                  </w:r>
                  <w:proofErr w:type="spellEnd"/>
                  <w:r w:rsidRPr="00302031">
                    <w:rPr>
                      <w:sz w:val="18"/>
                      <w:szCs w:val="18"/>
                    </w:rPr>
                    <w:t xml:space="preserve"> 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302031">
                    <w:rPr>
                      <w:sz w:val="18"/>
                      <w:szCs w:val="18"/>
                    </w:rPr>
                    <w:t>плати за землю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>, тис</w:t>
                  </w:r>
                  <w:proofErr w:type="gramStart"/>
                  <w:r w:rsidRPr="00302031">
                    <w:rPr>
                      <w:sz w:val="18"/>
                      <w:szCs w:val="18"/>
                      <w:lang w:val="uk-UA"/>
                    </w:rPr>
                    <w:t>.</w:t>
                  </w:r>
                  <w:proofErr w:type="gramEnd"/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gramStart"/>
                  <w:r w:rsidRPr="00302031">
                    <w:rPr>
                      <w:sz w:val="18"/>
                      <w:szCs w:val="18"/>
                      <w:lang w:val="uk-UA"/>
                    </w:rPr>
                    <w:t>г</w:t>
                  </w:r>
                  <w:proofErr w:type="gramEnd"/>
                  <w:r w:rsidRPr="00302031">
                    <w:rPr>
                      <w:sz w:val="18"/>
                      <w:szCs w:val="18"/>
                      <w:lang w:val="uk-UA"/>
                    </w:rPr>
                    <w:t>рн.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180718,0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302031">
                    <w:rPr>
                      <w:sz w:val="18"/>
                      <w:szCs w:val="18"/>
                      <w:lang w:val="en-US"/>
                    </w:rPr>
                    <w:t>161932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>,</w:t>
                  </w:r>
                  <w:r w:rsidRPr="00302031"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en-US"/>
                    </w:rPr>
                    <w:t>188243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>,00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216479,45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248951,37</w:t>
                  </w:r>
                </w:p>
              </w:tc>
            </w:tr>
            <w:tr w:rsidR="00435FDF" w:rsidRPr="00302031" w:rsidTr="007D1CCB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2031">
                    <w:rPr>
                      <w:b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02031">
                    <w:rPr>
                      <w:sz w:val="18"/>
                      <w:szCs w:val="18"/>
                    </w:rPr>
                    <w:t>Надходження</w:t>
                  </w:r>
                  <w:proofErr w:type="spellEnd"/>
                  <w:r w:rsidRPr="00302031">
                    <w:rPr>
                      <w:sz w:val="18"/>
                      <w:szCs w:val="18"/>
                    </w:rPr>
                    <w:t xml:space="preserve"> 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 xml:space="preserve">коштів </w:t>
                  </w:r>
                  <w:r w:rsidRPr="00302031">
                    <w:rPr>
                      <w:sz w:val="18"/>
                      <w:szCs w:val="18"/>
                    </w:rPr>
                    <w:t xml:space="preserve">до </w:t>
                  </w:r>
                  <w:proofErr w:type="spellStart"/>
                  <w:r w:rsidRPr="00302031">
                    <w:rPr>
                      <w:sz w:val="18"/>
                      <w:szCs w:val="18"/>
                    </w:rPr>
                    <w:t>міського</w:t>
                  </w:r>
                  <w:proofErr w:type="spellEnd"/>
                  <w:r w:rsidRPr="00302031">
                    <w:rPr>
                      <w:sz w:val="18"/>
                      <w:szCs w:val="18"/>
                    </w:rPr>
                    <w:t xml:space="preserve"> бюджету </w:t>
                  </w:r>
                  <w:proofErr w:type="spellStart"/>
                  <w:r w:rsidRPr="00302031">
                    <w:rPr>
                      <w:sz w:val="18"/>
                      <w:szCs w:val="18"/>
                    </w:rPr>
                    <w:t>від</w:t>
                  </w:r>
                  <w:proofErr w:type="spellEnd"/>
                  <w:r w:rsidRPr="00302031">
                    <w:rPr>
                      <w:sz w:val="18"/>
                      <w:szCs w:val="18"/>
                    </w:rPr>
                    <w:t xml:space="preserve"> продажу земель</w:t>
                  </w:r>
                  <w:r w:rsidRPr="00302031">
                    <w:rPr>
                      <w:sz w:val="18"/>
                      <w:szCs w:val="18"/>
                      <w:lang w:val="uk-UA"/>
                    </w:rPr>
                    <w:t>, тис. грн.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2947,80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2403,5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435FDF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02031">
                    <w:rPr>
                      <w:sz w:val="18"/>
                      <w:szCs w:val="18"/>
                      <w:lang w:val="uk-UA"/>
                    </w:rPr>
                    <w:t>108000,00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8520F5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9 </w:t>
                  </w:r>
                  <w:r w:rsidR="00435FDF" w:rsidRPr="00302031">
                    <w:rPr>
                      <w:sz w:val="18"/>
                      <w:szCs w:val="18"/>
                      <w:lang w:val="uk-UA"/>
                    </w:rPr>
                    <w:t>000</w:t>
                  </w:r>
                  <w:r w:rsidR="00435FDF" w:rsidRPr="00302031">
                    <w:rPr>
                      <w:sz w:val="18"/>
                      <w:szCs w:val="18"/>
                    </w:rPr>
                    <w:t>,0</w:t>
                  </w:r>
                  <w:r w:rsidR="00435FDF" w:rsidRPr="00302031"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FDF" w:rsidRPr="00302031" w:rsidRDefault="008520F5" w:rsidP="00435FDF">
                  <w:pPr>
                    <w:spacing w:before="120" w:after="120" w:line="25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10 </w:t>
                  </w:r>
                  <w:r w:rsidR="00435FDF" w:rsidRPr="00302031">
                    <w:rPr>
                      <w:sz w:val="18"/>
                      <w:szCs w:val="18"/>
                      <w:lang w:val="uk-UA"/>
                    </w:rPr>
                    <w:t>000</w:t>
                  </w:r>
                  <w:r w:rsidR="00435FDF" w:rsidRPr="00302031">
                    <w:rPr>
                      <w:sz w:val="18"/>
                      <w:szCs w:val="18"/>
                    </w:rPr>
                    <w:t>,0</w:t>
                  </w:r>
                  <w:r w:rsidR="00435FDF" w:rsidRPr="00302031">
                    <w:rPr>
                      <w:sz w:val="18"/>
                      <w:szCs w:val="18"/>
                      <w:lang w:val="uk-UA"/>
                    </w:rPr>
                    <w:t>0</w:t>
                  </w:r>
                </w:p>
              </w:tc>
            </w:tr>
          </w:tbl>
          <w:p w:rsidR="00435FDF" w:rsidRDefault="00435FDF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lang w:val="uk-UA"/>
              </w:rPr>
            </w:pP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2. Контроль </w:t>
            </w:r>
            <w:r>
              <w:rPr>
                <w:color w:val="000000"/>
                <w:lang w:val="uk-UA" w:eastAsia="en-US"/>
              </w:rPr>
              <w:t>за виконанням рішення покласти на департамент архітектури та містобудування та постійну комісію Черкаської міської ради з питань земельних відносин  та архітектури (</w:t>
            </w:r>
            <w:proofErr w:type="spellStart"/>
            <w:r>
              <w:rPr>
                <w:color w:val="000000"/>
                <w:lang w:val="uk-UA" w:eastAsia="en-US"/>
              </w:rPr>
              <w:t>Агапова</w:t>
            </w:r>
            <w:proofErr w:type="spellEnd"/>
            <w:r>
              <w:rPr>
                <w:color w:val="000000"/>
                <w:lang w:val="uk-UA" w:eastAsia="en-US"/>
              </w:rPr>
              <w:t xml:space="preserve"> О.М.).</w:t>
            </w: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color w:val="000000"/>
                <w:lang w:val="uk-UA" w:eastAsia="en-US"/>
              </w:rPr>
            </w:pP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color w:val="000000"/>
                <w:lang w:val="uk-UA" w:eastAsia="en-US"/>
              </w:rPr>
            </w:pPr>
          </w:p>
          <w:p w:rsidR="002D225E" w:rsidRDefault="002D225E" w:rsidP="006C31DC">
            <w:pPr>
              <w:shd w:val="clear" w:color="auto" w:fill="FFFFFF"/>
              <w:spacing w:line="256" w:lineRule="auto"/>
              <w:ind w:left="68" w:right="143" w:firstLine="720"/>
              <w:jc w:val="both"/>
              <w:rPr>
                <w:color w:val="000000"/>
                <w:lang w:eastAsia="en-US"/>
              </w:rPr>
            </w:pPr>
          </w:p>
          <w:tbl>
            <w:tblPr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746"/>
              <w:gridCol w:w="1700"/>
              <w:gridCol w:w="708"/>
              <w:gridCol w:w="1097"/>
              <w:gridCol w:w="2762"/>
            </w:tblGrid>
            <w:tr w:rsidR="002D225E" w:rsidTr="006C31DC">
              <w:trPr>
                <w:jc w:val="center"/>
              </w:trPr>
              <w:tc>
                <w:tcPr>
                  <w:tcW w:w="3189" w:type="dxa"/>
                  <w:noWrap/>
                  <w:vAlign w:val="center"/>
                  <w:hideMark/>
                </w:tcPr>
                <w:p w:rsidR="002D225E" w:rsidRDefault="002D225E" w:rsidP="006C31DC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Міський голова</w:t>
                  </w:r>
                </w:p>
              </w:tc>
              <w:tc>
                <w:tcPr>
                  <w:tcW w:w="747" w:type="dxa"/>
                  <w:noWrap/>
                  <w:vAlign w:val="center"/>
                </w:tcPr>
                <w:p w:rsidR="002D225E" w:rsidRDefault="002D225E" w:rsidP="006C31DC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noWrap/>
                  <w:vAlign w:val="center"/>
                </w:tcPr>
                <w:p w:rsidR="002D225E" w:rsidRDefault="002D225E" w:rsidP="006C31DC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8" w:type="dxa"/>
                  <w:noWrap/>
                  <w:vAlign w:val="center"/>
                </w:tcPr>
                <w:p w:rsidR="002D225E" w:rsidRDefault="002D225E" w:rsidP="006C31DC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98" w:type="dxa"/>
                  <w:noWrap/>
                  <w:vAlign w:val="center"/>
                </w:tcPr>
                <w:p w:rsidR="002D225E" w:rsidRDefault="002D225E" w:rsidP="006C31DC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64" w:type="dxa"/>
                  <w:noWrap/>
                  <w:vAlign w:val="center"/>
                  <w:hideMark/>
                </w:tcPr>
                <w:p w:rsidR="002D225E" w:rsidRDefault="002D225E" w:rsidP="006C31DC">
                  <w:pPr>
                    <w:spacing w:line="256" w:lineRule="auto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А.В. Бондаренко</w:t>
                  </w:r>
                </w:p>
              </w:tc>
            </w:tr>
          </w:tbl>
          <w:p w:rsidR="002D225E" w:rsidRDefault="002D225E" w:rsidP="006C31DC">
            <w:pPr>
              <w:pStyle w:val="a3"/>
              <w:spacing w:before="120" w:after="120" w:line="256" w:lineRule="auto"/>
              <w:ind w:left="0"/>
              <w:jc w:val="both"/>
              <w:rPr>
                <w:color w:val="000000"/>
                <w:spacing w:val="7"/>
                <w:lang w:val="uk-UA"/>
              </w:rPr>
            </w:pPr>
          </w:p>
        </w:tc>
      </w:tr>
    </w:tbl>
    <w:p w:rsidR="002D225E" w:rsidRDefault="002D225E" w:rsidP="002D225E">
      <w:pPr>
        <w:tabs>
          <w:tab w:val="left" w:pos="1200"/>
        </w:tabs>
        <w:rPr>
          <w:b/>
          <w:sz w:val="28"/>
          <w:szCs w:val="28"/>
          <w:lang w:val="uk-UA"/>
        </w:rPr>
      </w:pPr>
    </w:p>
    <w:p w:rsidR="002D225E" w:rsidRDefault="002D225E" w:rsidP="002D225E">
      <w:pPr>
        <w:tabs>
          <w:tab w:val="left" w:pos="1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2D225E" w:rsidRDefault="002D225E" w:rsidP="002D225E">
      <w:pPr>
        <w:tabs>
          <w:tab w:val="left" w:pos="120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до проекту рішення виконавчого комітету Черкаської міської ради «Про </w:t>
      </w:r>
      <w:r w:rsidR="00E27C8D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рішення Черкаської міської ради «Про внесення змін до рішення Черкаської міської ради від 21.03.2019 № 2-4224 «Про затвердження Програми розвитку земельних відносин та використання і охорони земель </w:t>
      </w:r>
      <w:r w:rsidR="00701BDC">
        <w:rPr>
          <w:b/>
          <w:sz w:val="28"/>
          <w:szCs w:val="28"/>
          <w:lang w:val="uk-UA"/>
        </w:rPr>
        <w:t>в м. Черкаси на 2019-2023 роки»</w:t>
      </w:r>
    </w:p>
    <w:p w:rsidR="002D225E" w:rsidRDefault="002D225E" w:rsidP="002D225E">
      <w:pPr>
        <w:tabs>
          <w:tab w:val="left" w:pos="1200"/>
        </w:tabs>
        <w:jc w:val="center"/>
        <w:rPr>
          <w:sz w:val="26"/>
          <w:szCs w:val="26"/>
          <w:lang w:val="uk-UA"/>
        </w:rPr>
      </w:pPr>
    </w:p>
    <w:p w:rsidR="00701BDC" w:rsidRDefault="00701BDC" w:rsidP="00701BDC">
      <w:pPr>
        <w:ind w:firstLine="708"/>
        <w:jc w:val="both"/>
        <w:rPr>
          <w:sz w:val="28"/>
          <w:szCs w:val="28"/>
          <w:lang w:val="uk-UA"/>
        </w:rPr>
      </w:pPr>
      <w:r w:rsidRPr="009028EB">
        <w:rPr>
          <w:sz w:val="28"/>
          <w:szCs w:val="28"/>
          <w:lang w:val="uk-UA"/>
        </w:rPr>
        <w:t>18.05.2021 року Верховною радою України прийнято Закон</w:t>
      </w:r>
      <w:r>
        <w:rPr>
          <w:sz w:val="28"/>
          <w:szCs w:val="28"/>
          <w:lang w:val="uk-UA"/>
        </w:rPr>
        <w:t xml:space="preserve"> України «</w:t>
      </w:r>
      <w:r w:rsidRPr="00701BDC">
        <w:rPr>
          <w:sz w:val="28"/>
          <w:szCs w:val="28"/>
          <w:lang w:val="uk-UA"/>
        </w:rPr>
        <w:t xml:space="preserve">Про внесення змін до деяких законодавчих актів України щодо продажу земельних ділянок та набуття права користування ними </w:t>
      </w:r>
      <w:r w:rsidRPr="00701BDC">
        <w:rPr>
          <w:sz w:val="28"/>
          <w:szCs w:val="28"/>
          <w:u w:val="single"/>
          <w:lang w:val="uk-UA"/>
        </w:rPr>
        <w:t>через електронні аукціони</w:t>
      </w:r>
      <w:r w:rsidRPr="009028EB">
        <w:rPr>
          <w:sz w:val="28"/>
          <w:szCs w:val="28"/>
          <w:lang w:val="uk-UA"/>
        </w:rPr>
        <w:t>»,</w:t>
      </w:r>
      <w:r w:rsidRPr="009028EB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028EB">
        <w:rPr>
          <w:sz w:val="28"/>
          <w:szCs w:val="28"/>
          <w:lang w:val="uk-UA"/>
        </w:rPr>
        <w:t xml:space="preserve">що в свою чергу передбачає покладення всіх функцій та обов’язків виконавця земельних торгів щодо підготовки лотів до аукціону на  організатора – Черкаську міську раду. Всі підготовчі роботи щодо проведення земельних торгів буде покладено на Черкаську міську раду. </w:t>
      </w:r>
    </w:p>
    <w:p w:rsidR="00701BDC" w:rsidRPr="00F90F61" w:rsidRDefault="00701BDC" w:rsidP="00701BDC">
      <w:pPr>
        <w:pStyle w:val="StyleZakonu"/>
        <w:spacing w:after="0" w:line="240" w:lineRule="auto"/>
        <w:ind w:firstLine="720"/>
        <w:rPr>
          <w:b/>
          <w:sz w:val="28"/>
        </w:rPr>
      </w:pPr>
      <w:r w:rsidRPr="00F90F61">
        <w:rPr>
          <w:b/>
          <w:sz w:val="28"/>
        </w:rPr>
        <w:t>Фінансування підготовки лотів до проведення земельних торгів забезпечує організатор земельних торгів.</w:t>
      </w:r>
    </w:p>
    <w:p w:rsidR="002D225E" w:rsidRPr="00701BDC" w:rsidRDefault="002D225E" w:rsidP="002D225E">
      <w:pPr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вищезазначеним виникла необхідність внесення змін до </w:t>
      </w:r>
      <w:r w:rsidR="00701BDC">
        <w:rPr>
          <w:sz w:val="28"/>
          <w:szCs w:val="28"/>
          <w:lang w:val="uk-UA"/>
        </w:rPr>
        <w:t xml:space="preserve">Програми </w:t>
      </w:r>
      <w:r w:rsidR="00701BDC">
        <w:rPr>
          <w:b/>
          <w:sz w:val="28"/>
          <w:szCs w:val="28"/>
          <w:lang w:val="uk-UA"/>
        </w:rPr>
        <w:t xml:space="preserve"> </w:t>
      </w:r>
      <w:r w:rsidR="00701BDC" w:rsidRPr="00701BDC">
        <w:rPr>
          <w:sz w:val="28"/>
          <w:szCs w:val="28"/>
          <w:lang w:val="uk-UA"/>
        </w:rPr>
        <w:t>розвитку земельних відносин та використання і охорони земель в м. Черкаси на 2019-2023 роки</w:t>
      </w:r>
      <w:r w:rsidRPr="00701BDC">
        <w:rPr>
          <w:sz w:val="28"/>
          <w:szCs w:val="28"/>
          <w:lang w:val="uk-UA"/>
        </w:rPr>
        <w:t>.</w:t>
      </w:r>
    </w:p>
    <w:p w:rsidR="002D225E" w:rsidRDefault="002D225E" w:rsidP="002D225E">
      <w:pPr>
        <w:jc w:val="both"/>
        <w:rPr>
          <w:lang w:val="uk-UA"/>
        </w:rPr>
      </w:pPr>
    </w:p>
    <w:p w:rsidR="002D225E" w:rsidRDefault="002D225E" w:rsidP="002D225E">
      <w:pPr>
        <w:jc w:val="both"/>
        <w:rPr>
          <w:lang w:val="uk-UA"/>
        </w:rPr>
      </w:pPr>
    </w:p>
    <w:p w:rsidR="002D225E" w:rsidRDefault="002D225E" w:rsidP="002D225E">
      <w:pPr>
        <w:jc w:val="both"/>
        <w:rPr>
          <w:sz w:val="28"/>
          <w:szCs w:val="28"/>
          <w:lang w:val="uk-UA"/>
        </w:rPr>
      </w:pPr>
    </w:p>
    <w:p w:rsidR="002D225E" w:rsidRDefault="002D225E" w:rsidP="002D22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</w:t>
      </w:r>
    </w:p>
    <w:p w:rsidR="002D225E" w:rsidRDefault="002D225E" w:rsidP="002D22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 та землеустрою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Р.Г. Донець</w:t>
      </w:r>
    </w:p>
    <w:p w:rsidR="002D225E" w:rsidRDefault="002D225E" w:rsidP="002D225E">
      <w:pPr>
        <w:jc w:val="both"/>
        <w:rPr>
          <w:lang w:val="uk-UA"/>
        </w:rPr>
      </w:pPr>
    </w:p>
    <w:p w:rsidR="002D225E" w:rsidRDefault="002D225E" w:rsidP="002D225E">
      <w:pPr>
        <w:jc w:val="both"/>
        <w:rPr>
          <w:sz w:val="18"/>
          <w:szCs w:val="18"/>
          <w:lang w:val="uk-UA"/>
        </w:rPr>
      </w:pPr>
    </w:p>
    <w:p w:rsidR="002D225E" w:rsidRDefault="002D225E" w:rsidP="002D225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вик. Слюсар І.М.</w:t>
      </w:r>
    </w:p>
    <w:p w:rsidR="002D225E" w:rsidRDefault="002D225E" w:rsidP="002D225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33-12-37</w:t>
      </w:r>
    </w:p>
    <w:p w:rsidR="00701BDC" w:rsidRDefault="00701BDC" w:rsidP="002D225E">
      <w:pPr>
        <w:jc w:val="both"/>
        <w:rPr>
          <w:sz w:val="18"/>
          <w:szCs w:val="18"/>
          <w:lang w:val="uk-UA"/>
        </w:rPr>
      </w:pPr>
    </w:p>
    <w:p w:rsidR="00701BDC" w:rsidRDefault="00701BDC" w:rsidP="002D225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ПОГОДЖЕНО:</w:t>
      </w:r>
    </w:p>
    <w:p w:rsidR="00701BDC" w:rsidRDefault="00701BDC" w:rsidP="002D225E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Айрапетян А.В.</w:t>
      </w:r>
    </w:p>
    <w:p w:rsidR="002D225E" w:rsidRDefault="002D225E" w:rsidP="002D225E">
      <w:pPr>
        <w:jc w:val="both"/>
        <w:rPr>
          <w:sz w:val="18"/>
          <w:szCs w:val="18"/>
          <w:lang w:val="uk-UA"/>
        </w:rPr>
      </w:pPr>
    </w:p>
    <w:p w:rsidR="002D225E" w:rsidRDefault="002D225E" w:rsidP="002D225E">
      <w:pPr>
        <w:tabs>
          <w:tab w:val="left" w:pos="540"/>
          <w:tab w:val="left" w:pos="900"/>
          <w:tab w:val="num" w:pos="1380"/>
        </w:tabs>
        <w:jc w:val="both"/>
        <w:rPr>
          <w:sz w:val="28"/>
          <w:szCs w:val="28"/>
          <w:lang w:val="uk-UA"/>
        </w:rPr>
      </w:pPr>
    </w:p>
    <w:p w:rsidR="001E0A6D" w:rsidRDefault="001E0A6D"/>
    <w:sectPr w:rsidR="001E0A6D" w:rsidSect="00246ED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119"/>
    <w:multiLevelType w:val="hybridMultilevel"/>
    <w:tmpl w:val="5E74F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1B2E"/>
    <w:multiLevelType w:val="hybridMultilevel"/>
    <w:tmpl w:val="002E3BE0"/>
    <w:lvl w:ilvl="0" w:tplc="B3100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49D"/>
    <w:multiLevelType w:val="hybridMultilevel"/>
    <w:tmpl w:val="AF6EB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E7C1B"/>
    <w:multiLevelType w:val="hybridMultilevel"/>
    <w:tmpl w:val="F0EE8BDE"/>
    <w:lvl w:ilvl="0" w:tplc="6358A8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E"/>
    <w:rsid w:val="00010803"/>
    <w:rsid w:val="00013640"/>
    <w:rsid w:val="000D4B23"/>
    <w:rsid w:val="000F6D33"/>
    <w:rsid w:val="00147D90"/>
    <w:rsid w:val="00150623"/>
    <w:rsid w:val="001E0A6D"/>
    <w:rsid w:val="002042AB"/>
    <w:rsid w:val="00246ED8"/>
    <w:rsid w:val="00283606"/>
    <w:rsid w:val="002D225E"/>
    <w:rsid w:val="00435FDF"/>
    <w:rsid w:val="006F185E"/>
    <w:rsid w:val="00701BDC"/>
    <w:rsid w:val="008520F5"/>
    <w:rsid w:val="00BE5773"/>
    <w:rsid w:val="00C47421"/>
    <w:rsid w:val="00E27C8D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5E"/>
    <w:pPr>
      <w:ind w:left="720"/>
      <w:contextualSpacing/>
    </w:pPr>
  </w:style>
  <w:style w:type="paragraph" w:customStyle="1" w:styleId="StyleZakonu">
    <w:name w:val="StyleZakonu"/>
    <w:basedOn w:val="a"/>
    <w:rsid w:val="00701BD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7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5E"/>
    <w:pPr>
      <w:ind w:left="720"/>
      <w:contextualSpacing/>
    </w:pPr>
  </w:style>
  <w:style w:type="paragraph" w:customStyle="1" w:styleId="StyleZakonu">
    <w:name w:val="StyleZakonu"/>
    <w:basedOn w:val="a"/>
    <w:rsid w:val="00701BD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7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Ірина</dc:creator>
  <cp:keywords/>
  <dc:description/>
  <cp:lastModifiedBy>Гаврилова Жанна</cp:lastModifiedBy>
  <cp:revision>10</cp:revision>
  <cp:lastPrinted>2021-07-15T07:38:00Z</cp:lastPrinted>
  <dcterms:created xsi:type="dcterms:W3CDTF">2021-06-30T12:27:00Z</dcterms:created>
  <dcterms:modified xsi:type="dcterms:W3CDTF">2021-07-27T06:42:00Z</dcterms:modified>
</cp:coreProperties>
</file>